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E86" w:rsidRPr="008A771B" w:rsidRDefault="00DF3F1F">
      <w:pPr>
        <w:rPr>
          <w:b/>
          <w:sz w:val="32"/>
        </w:rPr>
      </w:pPr>
      <w:r w:rsidRPr="008A771B">
        <w:rPr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5602374</wp:posOffset>
            </wp:positionH>
            <wp:positionV relativeFrom="paragraph">
              <wp:posOffset>-274320</wp:posOffset>
            </wp:positionV>
            <wp:extent cx="1275715" cy="740410"/>
            <wp:effectExtent l="0" t="0" r="635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zz (638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715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2868" w:rsidRPr="008A771B">
        <w:rPr>
          <w:b/>
          <w:sz w:val="32"/>
        </w:rPr>
        <w:t>GDPR Workshop</w:t>
      </w:r>
    </w:p>
    <w:p w:rsidR="00F72868" w:rsidRDefault="00F72868"/>
    <w:p w:rsidR="00F72868" w:rsidRDefault="007B771A" w:rsidP="00F72868">
      <w:r>
        <w:rPr>
          <w:b/>
          <w:sz w:val="28"/>
        </w:rPr>
        <w:t>Subject Rights</w:t>
      </w:r>
    </w:p>
    <w:p w:rsidR="00316003" w:rsidRDefault="00316003" w:rsidP="00316003"/>
    <w:p w:rsidR="006E196F" w:rsidRDefault="006E196F" w:rsidP="006E196F">
      <w:r>
        <w:t>The GDPR provides the following rights for individuals:</w:t>
      </w:r>
    </w:p>
    <w:p w:rsidR="006E196F" w:rsidRDefault="006E196F" w:rsidP="00BD6FCE">
      <w:pPr>
        <w:pStyle w:val="ListParagraph"/>
        <w:numPr>
          <w:ilvl w:val="0"/>
          <w:numId w:val="12"/>
        </w:numPr>
      </w:pPr>
      <w:r>
        <w:t>The right to be informed</w:t>
      </w:r>
    </w:p>
    <w:p w:rsidR="006E196F" w:rsidRDefault="006E196F" w:rsidP="00BD6FCE">
      <w:pPr>
        <w:pStyle w:val="ListParagraph"/>
        <w:numPr>
          <w:ilvl w:val="0"/>
          <w:numId w:val="12"/>
        </w:numPr>
      </w:pPr>
      <w:r>
        <w:t>The right of access</w:t>
      </w:r>
    </w:p>
    <w:p w:rsidR="006E196F" w:rsidRDefault="006E196F" w:rsidP="00BD6FCE">
      <w:pPr>
        <w:pStyle w:val="ListParagraph"/>
        <w:numPr>
          <w:ilvl w:val="0"/>
          <w:numId w:val="12"/>
        </w:numPr>
      </w:pPr>
      <w:r>
        <w:t>The right to rectification</w:t>
      </w:r>
    </w:p>
    <w:p w:rsidR="006E196F" w:rsidRDefault="006E196F" w:rsidP="00BD6FCE">
      <w:pPr>
        <w:pStyle w:val="ListParagraph"/>
        <w:numPr>
          <w:ilvl w:val="0"/>
          <w:numId w:val="12"/>
        </w:numPr>
      </w:pPr>
      <w:r>
        <w:t>The right to erasure</w:t>
      </w:r>
    </w:p>
    <w:p w:rsidR="006E196F" w:rsidRDefault="006E196F" w:rsidP="00BD6FCE">
      <w:pPr>
        <w:pStyle w:val="ListParagraph"/>
        <w:numPr>
          <w:ilvl w:val="0"/>
          <w:numId w:val="12"/>
        </w:numPr>
      </w:pPr>
      <w:r>
        <w:t>The right to restrict processing</w:t>
      </w:r>
    </w:p>
    <w:p w:rsidR="006E196F" w:rsidRDefault="006E196F" w:rsidP="00BD6FCE">
      <w:pPr>
        <w:pStyle w:val="ListParagraph"/>
        <w:numPr>
          <w:ilvl w:val="0"/>
          <w:numId w:val="12"/>
        </w:numPr>
      </w:pPr>
      <w:r>
        <w:t>The right to data portability</w:t>
      </w:r>
    </w:p>
    <w:p w:rsidR="006E196F" w:rsidRDefault="006E196F" w:rsidP="00BD6FCE">
      <w:pPr>
        <w:pStyle w:val="ListParagraph"/>
        <w:numPr>
          <w:ilvl w:val="0"/>
          <w:numId w:val="12"/>
        </w:numPr>
      </w:pPr>
      <w:r>
        <w:t>The right to object</w:t>
      </w:r>
    </w:p>
    <w:p w:rsidR="006E196F" w:rsidRDefault="006E196F" w:rsidP="00BD6FCE">
      <w:pPr>
        <w:pStyle w:val="ListParagraph"/>
        <w:numPr>
          <w:ilvl w:val="0"/>
          <w:numId w:val="12"/>
        </w:numPr>
      </w:pPr>
      <w:r>
        <w:t>Rights in relation to automated decision making and profiling.</w:t>
      </w:r>
    </w:p>
    <w:p w:rsidR="00BD6FCE" w:rsidRDefault="00BD6FCE" w:rsidP="00316003">
      <w:r>
        <w:t xml:space="preserve">Information about all rights are included below, but I suspect that for the </w:t>
      </w:r>
      <w:proofErr w:type="gramStart"/>
      <w:r>
        <w:t>vast majority</w:t>
      </w:r>
      <w:proofErr w:type="gramEnd"/>
      <w:r>
        <w:t xml:space="preserve"> of us, the rights to be informed, access, rectification and erasure will be the most common.</w:t>
      </w:r>
    </w:p>
    <w:p w:rsidR="00BD6FCE" w:rsidRDefault="00BD6FCE" w:rsidP="00316003"/>
    <w:p w:rsidR="006E196F" w:rsidRPr="006E196F" w:rsidRDefault="006E196F" w:rsidP="006E196F">
      <w:pPr>
        <w:rPr>
          <w:b/>
        </w:rPr>
      </w:pPr>
      <w:r w:rsidRPr="006E196F">
        <w:rPr>
          <w:b/>
        </w:rPr>
        <w:t>Right to be Informed</w:t>
      </w:r>
    </w:p>
    <w:p w:rsidR="006E196F" w:rsidRDefault="006E196F" w:rsidP="006E196F">
      <w:r>
        <w:t>You need to let people know the following, probably by giving a summary and referencing your privacy policy.  You should include the following:</w:t>
      </w:r>
    </w:p>
    <w:p w:rsidR="006E196F" w:rsidRDefault="006E196F" w:rsidP="006E196F">
      <w:pPr>
        <w:pStyle w:val="ListParagraph"/>
        <w:numPr>
          <w:ilvl w:val="0"/>
          <w:numId w:val="7"/>
        </w:numPr>
      </w:pPr>
      <w:r>
        <w:t>Identity and contact details of the controller</w:t>
      </w:r>
    </w:p>
    <w:p w:rsidR="006E196F" w:rsidRDefault="006E196F" w:rsidP="006E196F">
      <w:pPr>
        <w:pStyle w:val="ListParagraph"/>
        <w:numPr>
          <w:ilvl w:val="0"/>
          <w:numId w:val="7"/>
        </w:numPr>
      </w:pPr>
      <w:r>
        <w:t>Purpose of the processing and the lawful basis for the processing</w:t>
      </w:r>
    </w:p>
    <w:p w:rsidR="006E196F" w:rsidRDefault="006E196F" w:rsidP="006E196F">
      <w:pPr>
        <w:pStyle w:val="ListParagraph"/>
        <w:numPr>
          <w:ilvl w:val="0"/>
          <w:numId w:val="7"/>
        </w:numPr>
      </w:pPr>
      <w:r>
        <w:t>The legitimate interests of the controller or third party, where applicable</w:t>
      </w:r>
    </w:p>
    <w:p w:rsidR="006E196F" w:rsidRDefault="006E196F" w:rsidP="006E196F">
      <w:pPr>
        <w:pStyle w:val="ListParagraph"/>
        <w:numPr>
          <w:ilvl w:val="0"/>
          <w:numId w:val="7"/>
        </w:numPr>
      </w:pPr>
      <w:r>
        <w:t>Who else might receive the personal data, and what they will do with it</w:t>
      </w:r>
    </w:p>
    <w:p w:rsidR="006E196F" w:rsidRDefault="006E196F" w:rsidP="006E196F">
      <w:pPr>
        <w:pStyle w:val="ListParagraph"/>
        <w:numPr>
          <w:ilvl w:val="0"/>
          <w:numId w:val="7"/>
        </w:numPr>
      </w:pPr>
      <w:r>
        <w:t>Retention period or criteria used to determine the retention period</w:t>
      </w:r>
    </w:p>
    <w:p w:rsidR="006E196F" w:rsidRDefault="006E196F" w:rsidP="006E196F">
      <w:pPr>
        <w:pStyle w:val="ListParagraph"/>
        <w:numPr>
          <w:ilvl w:val="0"/>
          <w:numId w:val="7"/>
        </w:numPr>
      </w:pPr>
      <w:r>
        <w:t>The existence of each of data subject’s rights</w:t>
      </w:r>
    </w:p>
    <w:p w:rsidR="006E196F" w:rsidRDefault="006E196F" w:rsidP="006E196F">
      <w:pPr>
        <w:pStyle w:val="ListParagraph"/>
        <w:numPr>
          <w:ilvl w:val="0"/>
          <w:numId w:val="7"/>
        </w:numPr>
      </w:pPr>
      <w:r>
        <w:t xml:space="preserve">The right to withdraw consent at any time, where relevant </w:t>
      </w:r>
    </w:p>
    <w:p w:rsidR="006E196F" w:rsidRDefault="006E196F" w:rsidP="006E196F">
      <w:pPr>
        <w:pStyle w:val="ListParagraph"/>
        <w:numPr>
          <w:ilvl w:val="0"/>
          <w:numId w:val="7"/>
        </w:numPr>
      </w:pPr>
      <w:r>
        <w:t>The right to lodge a complaint with a supervisory authority</w:t>
      </w:r>
    </w:p>
    <w:p w:rsidR="006E196F" w:rsidRDefault="006E196F" w:rsidP="006E196F">
      <w:pPr>
        <w:pStyle w:val="ListParagraph"/>
        <w:numPr>
          <w:ilvl w:val="0"/>
          <w:numId w:val="7"/>
        </w:numPr>
      </w:pPr>
      <w:r>
        <w:t xml:space="preserve">The source the personal data originates from and whether it came from publicly accessible sources </w:t>
      </w:r>
    </w:p>
    <w:p w:rsidR="006E196F" w:rsidRDefault="006E196F" w:rsidP="006E196F">
      <w:pPr>
        <w:pStyle w:val="ListParagraph"/>
        <w:numPr>
          <w:ilvl w:val="0"/>
          <w:numId w:val="7"/>
        </w:numPr>
      </w:pPr>
      <w:r>
        <w:t xml:space="preserve">Whether the provision of personal data is part of a statutory or contractual requirement or obligation and possible consequences of failing to provide the personal data </w:t>
      </w:r>
    </w:p>
    <w:p w:rsidR="006E196F" w:rsidRDefault="006E196F" w:rsidP="006E196F">
      <w:pPr>
        <w:pStyle w:val="ListParagraph"/>
        <w:numPr>
          <w:ilvl w:val="0"/>
          <w:numId w:val="7"/>
        </w:numPr>
      </w:pPr>
      <w:r>
        <w:t>The existence of automated decision making, including profiling and information about how decisions are made, the significance and the consequences</w:t>
      </w:r>
    </w:p>
    <w:p w:rsidR="006E196F" w:rsidRDefault="006E196F" w:rsidP="00316003">
      <w:r>
        <w:t>Not all will apply to all communications.</w:t>
      </w:r>
    </w:p>
    <w:p w:rsidR="006E196F" w:rsidRDefault="006E196F" w:rsidP="00316003"/>
    <w:p w:rsidR="006E196F" w:rsidRPr="00BE7609" w:rsidRDefault="006E196F" w:rsidP="006E196F">
      <w:pPr>
        <w:rPr>
          <w:b/>
        </w:rPr>
      </w:pPr>
      <w:r w:rsidRPr="00BE7609">
        <w:rPr>
          <w:b/>
        </w:rPr>
        <w:t>The right of access</w:t>
      </w:r>
    </w:p>
    <w:p w:rsidR="002E4281" w:rsidRDefault="002E4281" w:rsidP="009F7CEF">
      <w:r>
        <w:t>Under the GDPR, individual</w:t>
      </w:r>
      <w:r w:rsidR="009F7CEF">
        <w:t>s will have the right to obtain confirmation that you are holding and processing their data, and to be given access to that data.</w:t>
      </w:r>
    </w:p>
    <w:p w:rsidR="00BE7609" w:rsidRDefault="00BE7609" w:rsidP="00BE7609">
      <w:r>
        <w:t>You must provide a copy of the information free of charge</w:t>
      </w:r>
      <w:r w:rsidR="009F7CEF">
        <w:t>, in the format it was requested (electronic or paper), usually within one month</w:t>
      </w:r>
      <w:r>
        <w:t>.</w:t>
      </w:r>
      <w:r w:rsidR="009F7CEF">
        <w:t xml:space="preserve">  You must verify their identity first.  You can only charge a reasonable fee for repetitive or unfounded requests.</w:t>
      </w:r>
    </w:p>
    <w:p w:rsidR="00BE7609" w:rsidRDefault="009F7CEF" w:rsidP="00BE7609">
      <w:r>
        <w:lastRenderedPageBreak/>
        <w:t xml:space="preserve">You can </w:t>
      </w:r>
      <w:r w:rsidR="00BE7609">
        <w:t xml:space="preserve">refuse to respond to a request, </w:t>
      </w:r>
      <w:r>
        <w:t xml:space="preserve">but </w:t>
      </w:r>
      <w:r w:rsidR="00BE7609">
        <w:t>must explain why to the individual, informing them of their right to complain.</w:t>
      </w:r>
    </w:p>
    <w:p w:rsidR="006E196F" w:rsidRDefault="006E196F" w:rsidP="006E196F"/>
    <w:p w:rsidR="006E196F" w:rsidRPr="009F7CEF" w:rsidRDefault="006E196F" w:rsidP="006E196F">
      <w:pPr>
        <w:rPr>
          <w:b/>
        </w:rPr>
      </w:pPr>
      <w:r w:rsidRPr="009F7CEF">
        <w:rPr>
          <w:b/>
        </w:rPr>
        <w:t>The right to rectification</w:t>
      </w:r>
    </w:p>
    <w:p w:rsidR="009F7CEF" w:rsidRDefault="009F7CEF" w:rsidP="009F7CEF">
      <w:r>
        <w:t>Individuals are entitled to have personal data rectified if it is inaccurate or incomplete.</w:t>
      </w:r>
    </w:p>
    <w:p w:rsidR="006E196F" w:rsidRDefault="009F7CEF" w:rsidP="009F7CEF">
      <w:r>
        <w:t>This includes others who have received information from you - unless this proves impossible or involves disproportionate effort.</w:t>
      </w:r>
    </w:p>
    <w:p w:rsidR="009F7CEF" w:rsidRDefault="009F7CEF" w:rsidP="009F7CEF">
      <w:r>
        <w:t>You can refuse to respond to a request, but must explain why to the individual, informing them of their right to complain.</w:t>
      </w:r>
    </w:p>
    <w:p w:rsidR="006E196F" w:rsidRDefault="006E196F" w:rsidP="006E196F"/>
    <w:p w:rsidR="006E196F" w:rsidRPr="009F7CEF" w:rsidRDefault="006E196F" w:rsidP="006E196F">
      <w:pPr>
        <w:rPr>
          <w:b/>
        </w:rPr>
      </w:pPr>
      <w:r w:rsidRPr="009F7CEF">
        <w:rPr>
          <w:b/>
        </w:rPr>
        <w:t>The right to erasure</w:t>
      </w:r>
    </w:p>
    <w:p w:rsidR="009F7CEF" w:rsidRDefault="009F7CEF" w:rsidP="009F7CEF">
      <w:r>
        <w:t>Also known as “the right to be forgotten” enabling an individual to request deletion or removal of personal data where there is no compelling reason for its continued processing.</w:t>
      </w:r>
    </w:p>
    <w:p w:rsidR="009F7CEF" w:rsidRDefault="009F7CEF" w:rsidP="009F7CEF">
      <w:r>
        <w:t>The right to erasure applies when:</w:t>
      </w:r>
    </w:p>
    <w:p w:rsidR="009F7CEF" w:rsidRDefault="009F7CEF" w:rsidP="009F7CEF">
      <w:pPr>
        <w:pStyle w:val="ListParagraph"/>
        <w:numPr>
          <w:ilvl w:val="0"/>
          <w:numId w:val="8"/>
        </w:numPr>
      </w:pPr>
      <w:r>
        <w:t>Personal data is no longer necessary in relation to the purpose for which it was originally collected</w:t>
      </w:r>
    </w:p>
    <w:p w:rsidR="009F7CEF" w:rsidRDefault="009F7CEF" w:rsidP="009F7CEF">
      <w:pPr>
        <w:pStyle w:val="ListParagraph"/>
        <w:numPr>
          <w:ilvl w:val="0"/>
          <w:numId w:val="8"/>
        </w:numPr>
      </w:pPr>
      <w:r>
        <w:t>Consent is withdrawn</w:t>
      </w:r>
    </w:p>
    <w:p w:rsidR="009F7CEF" w:rsidRDefault="009F7CEF" w:rsidP="009F7CEF">
      <w:pPr>
        <w:pStyle w:val="ListParagraph"/>
        <w:numPr>
          <w:ilvl w:val="0"/>
          <w:numId w:val="8"/>
        </w:numPr>
      </w:pPr>
      <w:r>
        <w:t>When the individual objects to the processing and there is no overriding legitimate interest for continuing the processing</w:t>
      </w:r>
    </w:p>
    <w:p w:rsidR="009F7CEF" w:rsidRDefault="009F7CEF" w:rsidP="009F7CEF">
      <w:pPr>
        <w:pStyle w:val="ListParagraph"/>
        <w:numPr>
          <w:ilvl w:val="0"/>
          <w:numId w:val="8"/>
        </w:numPr>
      </w:pPr>
      <w:r>
        <w:t>The personal data was unlawfully processed (</w:t>
      </w:r>
      <w:proofErr w:type="spellStart"/>
      <w:r>
        <w:t>ie</w:t>
      </w:r>
      <w:proofErr w:type="spellEnd"/>
      <w:r>
        <w:t xml:space="preserve"> otherwise in breach of the GDPR).</w:t>
      </w:r>
    </w:p>
    <w:p w:rsidR="009F7CEF" w:rsidRDefault="009F7CEF" w:rsidP="009F7CEF">
      <w:pPr>
        <w:pStyle w:val="ListParagraph"/>
        <w:numPr>
          <w:ilvl w:val="0"/>
          <w:numId w:val="8"/>
        </w:numPr>
      </w:pPr>
      <w:r>
        <w:t xml:space="preserve">The personal data </w:t>
      </w:r>
      <w:proofErr w:type="gramStart"/>
      <w:r>
        <w:t>has to</w:t>
      </w:r>
      <w:proofErr w:type="gramEnd"/>
      <w:r>
        <w:t xml:space="preserve"> be erased in order to comply with a legal obligation.</w:t>
      </w:r>
    </w:p>
    <w:p w:rsidR="009F7CEF" w:rsidRDefault="009F7CEF" w:rsidP="009F7CEF">
      <w:r>
        <w:t>There are some specific circumstances where the right to erasure does not apply and you can refuse to deal with a request.</w:t>
      </w:r>
    </w:p>
    <w:p w:rsidR="009F7CEF" w:rsidRDefault="00AE534D" w:rsidP="00AE534D">
      <w:pPr>
        <w:pStyle w:val="ListParagraph"/>
        <w:numPr>
          <w:ilvl w:val="0"/>
          <w:numId w:val="9"/>
        </w:numPr>
      </w:pPr>
      <w:r>
        <w:t>T</w:t>
      </w:r>
      <w:r w:rsidR="009F7CEF">
        <w:t>o exercise the right of freedom of expression and information;</w:t>
      </w:r>
    </w:p>
    <w:p w:rsidR="009F7CEF" w:rsidRDefault="00AE534D" w:rsidP="00AE534D">
      <w:pPr>
        <w:pStyle w:val="ListParagraph"/>
        <w:numPr>
          <w:ilvl w:val="0"/>
          <w:numId w:val="9"/>
        </w:numPr>
      </w:pPr>
      <w:r>
        <w:t>T</w:t>
      </w:r>
      <w:r w:rsidR="009F7CEF">
        <w:t>o comply with a legal obligation for the performance of a public interest task or exercise of official authority.</w:t>
      </w:r>
    </w:p>
    <w:p w:rsidR="009F7CEF" w:rsidRDefault="00AE534D" w:rsidP="00AE534D">
      <w:pPr>
        <w:pStyle w:val="ListParagraph"/>
        <w:numPr>
          <w:ilvl w:val="0"/>
          <w:numId w:val="9"/>
        </w:numPr>
      </w:pPr>
      <w:r>
        <w:t>F</w:t>
      </w:r>
      <w:r w:rsidR="009F7CEF">
        <w:t>or public health purposes in the public interest;</w:t>
      </w:r>
    </w:p>
    <w:p w:rsidR="009F7CEF" w:rsidRDefault="00AE534D" w:rsidP="00AE534D">
      <w:pPr>
        <w:pStyle w:val="ListParagraph"/>
        <w:numPr>
          <w:ilvl w:val="0"/>
          <w:numId w:val="9"/>
        </w:numPr>
      </w:pPr>
      <w:r>
        <w:t>A</w:t>
      </w:r>
      <w:r w:rsidR="009F7CEF">
        <w:t>rchiving purposes in the public interest, scientific research historical research or statistical purposes; or</w:t>
      </w:r>
    </w:p>
    <w:p w:rsidR="009F7CEF" w:rsidRDefault="00AE534D" w:rsidP="00AE534D">
      <w:pPr>
        <w:pStyle w:val="ListParagraph"/>
        <w:numPr>
          <w:ilvl w:val="0"/>
          <w:numId w:val="9"/>
        </w:numPr>
      </w:pPr>
      <w:r>
        <w:t>E</w:t>
      </w:r>
      <w:r w:rsidR="009F7CEF">
        <w:t xml:space="preserve">xercise or defence of legal claims. </w:t>
      </w:r>
    </w:p>
    <w:p w:rsidR="00AE534D" w:rsidRDefault="00AE534D" w:rsidP="00AE534D">
      <w:r>
        <w:t>This includes others who have received information from you - unless this proves impossible or involves disproportionate effort.</w:t>
      </w:r>
    </w:p>
    <w:p w:rsidR="006E196F" w:rsidRDefault="006E196F" w:rsidP="006E196F"/>
    <w:p w:rsidR="006E196F" w:rsidRPr="00AE534D" w:rsidRDefault="006E196F" w:rsidP="006E196F">
      <w:pPr>
        <w:rPr>
          <w:b/>
        </w:rPr>
      </w:pPr>
      <w:r w:rsidRPr="00AE534D">
        <w:rPr>
          <w:b/>
        </w:rPr>
        <w:t>The right to restrict processing</w:t>
      </w:r>
    </w:p>
    <w:p w:rsidR="00AE534D" w:rsidRDefault="00AE534D" w:rsidP="00AE534D">
      <w:r>
        <w:t>Individuals have a right to block processing of personal data, whilst you can still store the personal data.</w:t>
      </w:r>
    </w:p>
    <w:p w:rsidR="00AE534D" w:rsidRDefault="00AE534D" w:rsidP="00AE534D">
      <w:r>
        <w:t>You can retain just enough information about the individual to ensure that the restriction is respected in future.</w:t>
      </w:r>
    </w:p>
    <w:p w:rsidR="00AE534D" w:rsidRDefault="00AE534D" w:rsidP="00AE534D">
      <w:r>
        <w:t>The right applies when:</w:t>
      </w:r>
    </w:p>
    <w:p w:rsidR="00AE534D" w:rsidRDefault="00AE534D" w:rsidP="00AE534D">
      <w:pPr>
        <w:pStyle w:val="ListParagraph"/>
        <w:numPr>
          <w:ilvl w:val="0"/>
          <w:numId w:val="10"/>
        </w:numPr>
      </w:pPr>
      <w:r>
        <w:t>Where the individual contests the accuracy of the data, you should then restrict the processing until you have verified the accuracy of the personal data.</w:t>
      </w:r>
    </w:p>
    <w:p w:rsidR="00AE534D" w:rsidRDefault="00AE534D" w:rsidP="00AE534D">
      <w:pPr>
        <w:pStyle w:val="ListParagraph"/>
        <w:numPr>
          <w:ilvl w:val="0"/>
          <w:numId w:val="10"/>
        </w:numPr>
      </w:pPr>
      <w:r>
        <w:t>An individual has objected to the processing and while you are considering whether your organisation’s legitimate grounds override those of the individual.</w:t>
      </w:r>
    </w:p>
    <w:p w:rsidR="00AE534D" w:rsidRDefault="00AE534D" w:rsidP="00AE534D">
      <w:r>
        <w:lastRenderedPageBreak/>
        <w:t>This includes others who have received information from you - unless this proves impossible or involves disproportionate effort.</w:t>
      </w:r>
    </w:p>
    <w:p w:rsidR="006E196F" w:rsidRDefault="00AE534D" w:rsidP="00AE534D">
      <w:r>
        <w:t>You must inform individuals if you decide to lift a restriction on processing.</w:t>
      </w:r>
    </w:p>
    <w:p w:rsidR="006E196F" w:rsidRDefault="006E196F" w:rsidP="006E196F"/>
    <w:p w:rsidR="006E196F" w:rsidRPr="00AE534D" w:rsidRDefault="006E196F" w:rsidP="006E196F">
      <w:pPr>
        <w:rPr>
          <w:b/>
        </w:rPr>
      </w:pPr>
      <w:r w:rsidRPr="00AE534D">
        <w:rPr>
          <w:b/>
        </w:rPr>
        <w:t>The right to data portability</w:t>
      </w:r>
    </w:p>
    <w:p w:rsidR="00AE534D" w:rsidRDefault="00AE534D" w:rsidP="00AE534D">
      <w:r>
        <w:t xml:space="preserve">This allows individuals to obtain and reuse their personal data for their own purposes, </w:t>
      </w:r>
      <w:proofErr w:type="spellStart"/>
      <w:r>
        <w:t>ie</w:t>
      </w:r>
      <w:proofErr w:type="spellEnd"/>
      <w:r>
        <w:t xml:space="preserve"> moving, copying or transferring personal data easily from one IT environment to another in a safe and secure way.</w:t>
      </w:r>
    </w:p>
    <w:p w:rsidR="00AE534D" w:rsidRDefault="00AE534D" w:rsidP="00AE534D">
      <w:r>
        <w:t>It enables consumers to take advantage of applications and services which can use this data to find them a better deal, or help them understand their spending habits.</w:t>
      </w:r>
    </w:p>
    <w:p w:rsidR="00AE534D" w:rsidRDefault="00AE534D" w:rsidP="00AE534D">
      <w:r>
        <w:t>The right to data portability only applies:</w:t>
      </w:r>
    </w:p>
    <w:p w:rsidR="00AE534D" w:rsidRDefault="00AE534D" w:rsidP="00AE534D">
      <w:pPr>
        <w:pStyle w:val="ListParagraph"/>
        <w:numPr>
          <w:ilvl w:val="0"/>
          <w:numId w:val="11"/>
        </w:numPr>
      </w:pPr>
      <w:r>
        <w:t>To personal data an individual has provided to a controller</w:t>
      </w:r>
    </w:p>
    <w:p w:rsidR="00AE534D" w:rsidRDefault="00AE534D" w:rsidP="00AE534D">
      <w:pPr>
        <w:pStyle w:val="ListParagraph"/>
        <w:numPr>
          <w:ilvl w:val="0"/>
          <w:numId w:val="11"/>
        </w:numPr>
      </w:pPr>
      <w:r>
        <w:t>Where the processing is based on the individual’s consent or for the performance of a contract</w:t>
      </w:r>
    </w:p>
    <w:p w:rsidR="00AE534D" w:rsidRDefault="00AE534D" w:rsidP="00AE534D">
      <w:pPr>
        <w:pStyle w:val="ListParagraph"/>
        <w:numPr>
          <w:ilvl w:val="0"/>
          <w:numId w:val="11"/>
        </w:numPr>
      </w:pPr>
      <w:r>
        <w:t>When processing is carried out by automated means</w:t>
      </w:r>
    </w:p>
    <w:p w:rsidR="00AE534D" w:rsidRDefault="00AE534D" w:rsidP="00AE534D">
      <w:r>
        <w:t>You must provide the personal data in a structured, commonly used and machine-readable form (</w:t>
      </w:r>
      <w:proofErr w:type="spellStart"/>
      <w:r>
        <w:t>eg</w:t>
      </w:r>
      <w:proofErr w:type="spellEnd"/>
      <w:r>
        <w:t xml:space="preserve"> CSV files).</w:t>
      </w:r>
    </w:p>
    <w:p w:rsidR="00AE534D" w:rsidRDefault="00AE534D" w:rsidP="00AE534D">
      <w:r>
        <w:t>The information must be provided free of charge, and you may be required to transmit the data directly to another organisation if this is technically feasible.</w:t>
      </w:r>
    </w:p>
    <w:p w:rsidR="006E196F" w:rsidRDefault="00AE534D" w:rsidP="00AE534D">
      <w:r>
        <w:t>You must respond without undue delay, and within one month, etc.</w:t>
      </w:r>
    </w:p>
    <w:p w:rsidR="006E196F" w:rsidRDefault="006E196F" w:rsidP="006E196F"/>
    <w:p w:rsidR="006E196F" w:rsidRPr="00AE534D" w:rsidRDefault="006E196F" w:rsidP="006E196F">
      <w:pPr>
        <w:rPr>
          <w:b/>
        </w:rPr>
      </w:pPr>
      <w:r w:rsidRPr="00AE534D">
        <w:rPr>
          <w:b/>
        </w:rPr>
        <w:t>The right to object</w:t>
      </w:r>
    </w:p>
    <w:p w:rsidR="00AE534D" w:rsidRDefault="00AE534D" w:rsidP="00BD6FCE">
      <w:r>
        <w:t>Individuals have the right to object to</w:t>
      </w:r>
      <w:r w:rsidR="00BD6FCE">
        <w:t xml:space="preserve"> </w:t>
      </w:r>
      <w:r>
        <w:t xml:space="preserve">processing based on </w:t>
      </w:r>
      <w:r w:rsidR="00BD6FCE">
        <w:t>other lawful interests, marketing and research.</w:t>
      </w:r>
    </w:p>
    <w:p w:rsidR="00AE534D" w:rsidRDefault="00BD6FCE" w:rsidP="00AE534D">
      <w:r>
        <w:t xml:space="preserve">You can continue processing if </w:t>
      </w:r>
      <w:r w:rsidR="00AE534D">
        <w:t xml:space="preserve">you can demonstrate compelling legitimate grounds for the processing, which override the interests, rights </w:t>
      </w:r>
      <w:r>
        <w:t xml:space="preserve">and freedoms of the individual, if </w:t>
      </w:r>
      <w:r w:rsidR="00AE534D">
        <w:t>the processing is for the establishment, exercise or defence of legal claims.</w:t>
      </w:r>
    </w:p>
    <w:p w:rsidR="00AE534D" w:rsidRDefault="00AE534D" w:rsidP="00AE534D">
      <w:r>
        <w:t xml:space="preserve">You must inform individuals of their right to object </w:t>
      </w:r>
      <w:r w:rsidR="00BD6FCE">
        <w:t>along with their other rights.</w:t>
      </w:r>
    </w:p>
    <w:p w:rsidR="00AE534D" w:rsidRDefault="00AE534D" w:rsidP="00AE534D">
      <w:r>
        <w:t>You must stop processing personal data for direct marketing purposes as soon as you receive an objection. There are no exemptions or grounds to refuse.</w:t>
      </w:r>
    </w:p>
    <w:p w:rsidR="00AE534D" w:rsidRDefault="00AE534D" w:rsidP="00AE534D">
      <w:r>
        <w:t>You must deal with an objection to processing for direct marketing at any time and free of charge.</w:t>
      </w:r>
    </w:p>
    <w:p w:rsidR="006E196F" w:rsidRDefault="006E196F" w:rsidP="006E196F">
      <w:r>
        <w:t>Rights in relation to automated decision making and profiling.</w:t>
      </w:r>
    </w:p>
    <w:p w:rsidR="006E196F" w:rsidRDefault="006E196F" w:rsidP="00316003"/>
    <w:p w:rsidR="00BD6FCE" w:rsidRPr="00BD6FCE" w:rsidRDefault="00BD6FCE" w:rsidP="00316003">
      <w:pPr>
        <w:rPr>
          <w:b/>
        </w:rPr>
      </w:pPr>
      <w:r w:rsidRPr="00BD6FCE">
        <w:rPr>
          <w:b/>
        </w:rPr>
        <w:t>Rights in relation to automated decision making and profiling</w:t>
      </w:r>
    </w:p>
    <w:p w:rsidR="006E196F" w:rsidRDefault="00BD6FCE" w:rsidP="00316003">
      <w:r>
        <w:t>This section is complicated and relates to automatic processing of data (no human decision making).  Refer to the ICO for more detail.</w:t>
      </w:r>
    </w:p>
    <w:p w:rsidR="00BD6FCE" w:rsidRDefault="00BD6FCE" w:rsidP="00316003"/>
    <w:p w:rsidR="00B870A1" w:rsidRPr="008A771B" w:rsidRDefault="00283305" w:rsidP="00F72868">
      <w:pPr>
        <w:rPr>
          <w:b/>
          <w:sz w:val="28"/>
        </w:rPr>
      </w:pPr>
      <w:r w:rsidRPr="008A771B">
        <w:rPr>
          <w:b/>
          <w:sz w:val="28"/>
        </w:rPr>
        <w:t>Suggested Activities</w:t>
      </w:r>
    </w:p>
    <w:p w:rsidR="00B870A1" w:rsidRDefault="00B870A1" w:rsidP="00F72868"/>
    <w:p w:rsidR="0028503C" w:rsidRDefault="00BD6FCE" w:rsidP="008A771B">
      <w:pPr>
        <w:pStyle w:val="ListParagraph"/>
        <w:numPr>
          <w:ilvl w:val="0"/>
          <w:numId w:val="2"/>
        </w:numPr>
      </w:pPr>
      <w:r>
        <w:t>Discuss how you would deal with a subject access request, leading to a request for erasure.</w:t>
      </w:r>
    </w:p>
    <w:p w:rsidR="00BD6FCE" w:rsidRDefault="00BD6FCE" w:rsidP="00BD6FCE">
      <w:pPr>
        <w:pStyle w:val="ListParagraph"/>
        <w:numPr>
          <w:ilvl w:val="1"/>
          <w:numId w:val="2"/>
        </w:numPr>
      </w:pPr>
      <w:r>
        <w:t>Can you identify all the date you hold?</w:t>
      </w:r>
    </w:p>
    <w:p w:rsidR="00BD6FCE" w:rsidRDefault="00BD6FCE" w:rsidP="00BD6FCE">
      <w:pPr>
        <w:pStyle w:val="ListParagraph"/>
        <w:numPr>
          <w:ilvl w:val="1"/>
          <w:numId w:val="2"/>
        </w:numPr>
      </w:pPr>
      <w:r>
        <w:lastRenderedPageBreak/>
        <w:t>Would you have to comply with the erasure request?</w:t>
      </w:r>
    </w:p>
    <w:sectPr w:rsidR="00BD6FCE" w:rsidSect="00553E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A90" w:rsidRDefault="00EC1A90" w:rsidP="00EC1A90">
      <w:pPr>
        <w:spacing w:after="0" w:line="240" w:lineRule="auto"/>
      </w:pPr>
      <w:r>
        <w:separator/>
      </w:r>
    </w:p>
  </w:endnote>
  <w:endnote w:type="continuationSeparator" w:id="0">
    <w:p w:rsidR="00EC1A90" w:rsidRDefault="00EC1A90" w:rsidP="00EC1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A90" w:rsidRDefault="00EC1A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A90" w:rsidRDefault="00EC1A90">
    <w:pPr>
      <w:pStyle w:val="Footer"/>
    </w:pPr>
    <w:bookmarkStart w:id="0" w:name="_GoBack"/>
    <w:r>
      <w:t>© Surrey Community Action 2018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A90" w:rsidRDefault="00EC1A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A90" w:rsidRDefault="00EC1A90" w:rsidP="00EC1A90">
      <w:pPr>
        <w:spacing w:after="0" w:line="240" w:lineRule="auto"/>
      </w:pPr>
      <w:r>
        <w:separator/>
      </w:r>
    </w:p>
  </w:footnote>
  <w:footnote w:type="continuationSeparator" w:id="0">
    <w:p w:rsidR="00EC1A90" w:rsidRDefault="00EC1A90" w:rsidP="00EC1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A90" w:rsidRDefault="00EC1A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A90" w:rsidRDefault="00EC1A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A90" w:rsidRDefault="00EC1A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69D1"/>
    <w:multiLevelType w:val="hybridMultilevel"/>
    <w:tmpl w:val="82CAF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1701B"/>
    <w:multiLevelType w:val="hybridMultilevel"/>
    <w:tmpl w:val="F2BCA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436E0"/>
    <w:multiLevelType w:val="hybridMultilevel"/>
    <w:tmpl w:val="F2680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D6DC6"/>
    <w:multiLevelType w:val="hybridMultilevel"/>
    <w:tmpl w:val="3978F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24592"/>
    <w:multiLevelType w:val="hybridMultilevel"/>
    <w:tmpl w:val="76D8C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46F2C"/>
    <w:multiLevelType w:val="hybridMultilevel"/>
    <w:tmpl w:val="514C5C8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05E29"/>
    <w:multiLevelType w:val="hybridMultilevel"/>
    <w:tmpl w:val="37865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D06EB"/>
    <w:multiLevelType w:val="hybridMultilevel"/>
    <w:tmpl w:val="08D42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FC7CAA"/>
    <w:multiLevelType w:val="hybridMultilevel"/>
    <w:tmpl w:val="B606A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065254"/>
    <w:multiLevelType w:val="hybridMultilevel"/>
    <w:tmpl w:val="4E104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577761"/>
    <w:multiLevelType w:val="hybridMultilevel"/>
    <w:tmpl w:val="15E2F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D400F3"/>
    <w:multiLevelType w:val="hybridMultilevel"/>
    <w:tmpl w:val="129A1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10"/>
  </w:num>
  <w:num w:numId="10">
    <w:abstractNumId w:val="1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868"/>
    <w:rsid w:val="000F124B"/>
    <w:rsid w:val="00252153"/>
    <w:rsid w:val="00283305"/>
    <w:rsid w:val="0028503C"/>
    <w:rsid w:val="002E4281"/>
    <w:rsid w:val="00316003"/>
    <w:rsid w:val="003D7BDA"/>
    <w:rsid w:val="00553E87"/>
    <w:rsid w:val="006A005F"/>
    <w:rsid w:val="006E196F"/>
    <w:rsid w:val="007B771A"/>
    <w:rsid w:val="00856D75"/>
    <w:rsid w:val="008A771B"/>
    <w:rsid w:val="008B549A"/>
    <w:rsid w:val="008B5979"/>
    <w:rsid w:val="009F7CEF"/>
    <w:rsid w:val="00AD0051"/>
    <w:rsid w:val="00AE534D"/>
    <w:rsid w:val="00B870A1"/>
    <w:rsid w:val="00BD6FCE"/>
    <w:rsid w:val="00BE7609"/>
    <w:rsid w:val="00C45729"/>
    <w:rsid w:val="00C965A7"/>
    <w:rsid w:val="00D659AF"/>
    <w:rsid w:val="00DF3F1F"/>
    <w:rsid w:val="00EC1A90"/>
    <w:rsid w:val="00ED040E"/>
    <w:rsid w:val="00EE0346"/>
    <w:rsid w:val="00F7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0B12B"/>
  <w15:chartTrackingRefBased/>
  <w15:docId w15:val="{13EF5014-6874-4A63-BC9E-4A843BB8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2868"/>
    <w:pPr>
      <w:spacing w:after="0" w:line="240" w:lineRule="auto"/>
    </w:pPr>
    <w:rPr>
      <w:rFonts w:eastAsia="Times New Roman" w:cs="Times New Roman"/>
    </w:rPr>
  </w:style>
  <w:style w:type="character" w:styleId="Hyperlink">
    <w:name w:val="Hyperlink"/>
    <w:basedOn w:val="DefaultParagraphFont"/>
    <w:uiPriority w:val="99"/>
    <w:unhideWhenUsed/>
    <w:rsid w:val="00F72868"/>
    <w:rPr>
      <w:rFonts w:cs="Times New Roman"/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7286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72868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A77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1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A90"/>
  </w:style>
  <w:style w:type="paragraph" w:styleId="Footer">
    <w:name w:val="footer"/>
    <w:basedOn w:val="Normal"/>
    <w:link w:val="FooterChar"/>
    <w:uiPriority w:val="99"/>
    <w:unhideWhenUsed/>
    <w:rsid w:val="00EC1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5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1991">
          <w:marLeft w:val="1253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2904">
          <w:marLeft w:val="1253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8531">
          <w:marLeft w:val="191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3581">
          <w:marLeft w:val="1253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6165">
          <w:marLeft w:val="191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8462">
          <w:marLeft w:val="1253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7107">
          <w:marLeft w:val="191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2912">
          <w:marLeft w:val="1253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994">
          <w:marLeft w:val="191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9318">
          <w:marLeft w:val="1253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0192">
          <w:marLeft w:val="191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8D3CED2213734591F14A3097B51439" ma:contentTypeVersion="17" ma:contentTypeDescription="Create a new document." ma:contentTypeScope="" ma:versionID="a74d8462fa3d6168dbe64ee2d381874c">
  <xsd:schema xmlns:xsd="http://www.w3.org/2001/XMLSchema" xmlns:xs="http://www.w3.org/2001/XMLSchema" xmlns:p="http://schemas.microsoft.com/office/2006/metadata/properties" xmlns:ns2="e50f0395-3555-4f97-b8c0-ce14fe8f2377" xmlns:ns3="907d2526-5ef7-4852-ba13-ef2d9ddfaf1f" targetNamespace="http://schemas.microsoft.com/office/2006/metadata/properties" ma:root="true" ma:fieldsID="1216ada8ccaa5850a7084217ab2a4c00" ns2:_="" ns3:_="">
    <xsd:import namespace="e50f0395-3555-4f97-b8c0-ce14fe8f2377"/>
    <xsd:import namespace="907d2526-5ef7-4852-ba13-ef2d9ddfaf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klp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f0395-3555-4f97-b8c0-ce14fe8f23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klpr" ma:index="20" nillable="true" ma:displayName="Person or Group" ma:list="UserInfo" ma:internalName="klp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0d488bc-f3d7-4c87-b121-834d4ddac6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d2526-5ef7-4852-ba13-ef2d9ddfaf1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6b7d00a-d4da-44a8-ba5f-2ab769e9ff30}" ma:internalName="TaxCatchAll" ma:showField="CatchAllData" ma:web="907d2526-5ef7-4852-ba13-ef2d9ddfaf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7d2526-5ef7-4852-ba13-ef2d9ddfaf1f" xsi:nil="true"/>
    <lcf76f155ced4ddcb4097134ff3c332f xmlns="e50f0395-3555-4f97-b8c0-ce14fe8f2377">
      <Terms xmlns="http://schemas.microsoft.com/office/infopath/2007/PartnerControls"/>
    </lcf76f155ced4ddcb4097134ff3c332f>
    <klpr xmlns="e50f0395-3555-4f97-b8c0-ce14fe8f2377">
      <UserInfo>
        <DisplayName/>
        <AccountId xsi:nil="true"/>
        <AccountType/>
      </UserInfo>
    </klpr>
  </documentManagement>
</p:properties>
</file>

<file path=customXml/itemProps1.xml><?xml version="1.0" encoding="utf-8"?>
<ds:datastoreItem xmlns:ds="http://schemas.openxmlformats.org/officeDocument/2006/customXml" ds:itemID="{4408329D-FB27-411A-B896-372676D8D511}"/>
</file>

<file path=customXml/itemProps2.xml><?xml version="1.0" encoding="utf-8"?>
<ds:datastoreItem xmlns:ds="http://schemas.openxmlformats.org/officeDocument/2006/customXml" ds:itemID="{9FA067F7-A01A-40BE-938C-C24394B45E4F}"/>
</file>

<file path=customXml/itemProps3.xml><?xml version="1.0" encoding="utf-8"?>
<ds:datastoreItem xmlns:ds="http://schemas.openxmlformats.org/officeDocument/2006/customXml" ds:itemID="{D372FBC3-EBFF-47E3-B67A-78D939E5C0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</dc:creator>
  <cp:keywords/>
  <dc:description/>
  <cp:lastModifiedBy>Jason Gaskell</cp:lastModifiedBy>
  <cp:revision>5</cp:revision>
  <dcterms:created xsi:type="dcterms:W3CDTF">2018-03-14T11:17:00Z</dcterms:created>
  <dcterms:modified xsi:type="dcterms:W3CDTF">2018-03-19T15:27:00Z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0x01010024B1AFBF0443CD44B5D3E0C5555ECF6C</vt:lpwstr>
  </property>
  <property fmtid="{D5CDD505-2E9C-101B-9397-08002B2CF9AE}" pid="3" name="Order">
    <vt:r8>875800</vt:r8>
  </property>
</Properties>
</file>